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05"/>
        <w:tblW w:w="10207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7855A5" w:rsidRPr="007855A5" w:rsidTr="007855A5">
        <w:tc>
          <w:tcPr>
            <w:tcW w:w="4253" w:type="dxa"/>
            <w:tcBorders>
              <w:bottom w:val="single" w:sz="4" w:space="0" w:color="auto"/>
            </w:tcBorders>
          </w:tcPr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924DB7" w:rsidRDefault="00924DB7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7855A5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5A5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8" o:title="" croptop="12122f" cropleft="12122f" cropright="6939f"/>
                </v:shape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924DB7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</w:t>
            </w:r>
            <w:r w:rsidR="00924DB7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7855A5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855A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855A5" w:rsidRPr="007855A5" w:rsidRDefault="007855A5" w:rsidP="007855A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7855A5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C065E9" w:rsidRDefault="00C065E9" w:rsidP="00AA7EAC">
      <w:pPr>
        <w:pStyle w:val="1"/>
      </w:pPr>
      <w:r>
        <w:t xml:space="preserve">СОВЕТ СЕЛЬСКОГО ПОСЕЛЕНИЯ </w:t>
      </w:r>
      <w:r w:rsidR="00DF33A1">
        <w:t>ЧУВАШ-КАРАМАЛИНСКИЙ</w:t>
      </w:r>
      <w:r>
        <w:t xml:space="preserve"> СЕЛЬСОВЕТ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12"/>
      <w:bookmarkEnd w:id="1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F33A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3086,9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F33A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3086,9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DF33A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2888,1</w:t>
      </w:r>
      <w:r w:rsidR="00D769B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F33A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2942,6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2888,1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52,6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2942,6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105,3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</w:t>
      </w:r>
      <w:r w:rsidR="00020AC9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6B5A5C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6B5A5C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тыс. руб., на 2022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2023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55A5" w:rsidRDefault="007855A5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DE1" w:rsidRPr="00813E14" w:rsidRDefault="007855A5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="00D769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3A3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Н.С.Ефремов</w:t>
      </w:r>
      <w:proofErr w:type="spellEnd"/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7855A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уваш-карамалы</w:t>
      </w:r>
      <w:proofErr w:type="spellEnd"/>
    </w:p>
    <w:p w:rsidR="00420530" w:rsidRDefault="007855A5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247A">
        <w:rPr>
          <w:rFonts w:ascii="Times New Roman" w:hAnsi="Times New Roman" w:cs="Times New Roman"/>
          <w:sz w:val="28"/>
          <w:szCs w:val="28"/>
        </w:rPr>
        <w:t>20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Default="008B3A3E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55A5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Pr="000758AD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proofErr w:type="spellStart"/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7855A5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7855A5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№_</w:t>
            </w:r>
            <w:r w:rsidR="007855A5">
              <w:rPr>
                <w:rFonts w:ascii="Times New Roman" w:hAnsi="Times New Roman" w:cs="Times New Roman"/>
                <w:sz w:val="18"/>
                <w:szCs w:val="18"/>
              </w:rPr>
              <w:t xml:space="preserve">119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Доходы, поступающие в порядке возмещения </w:t>
            </w:r>
            <w:r w:rsidRPr="000758AD">
              <w:rPr>
                <w:rFonts w:ascii="Times New Roman" w:hAnsi="Times New Roman" w:cs="Times New Roman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F73E6">
              <w:rPr>
                <w:rFonts w:ascii="Times New Roman" w:hAnsi="Times New Roman" w:cs="Times New Roman"/>
                <w:color w:val="000000" w:themeColor="text1"/>
              </w:rPr>
              <w:t xml:space="preserve">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Поступления в бюджеты сельских поселений (перечисления из бюджетов сельских поселений) по </w:t>
            </w:r>
            <w:r w:rsidRPr="000758AD">
              <w:rPr>
                <w:rFonts w:ascii="Times New Roman" w:hAnsi="Times New Roman" w:cs="Times New Roman"/>
              </w:rPr>
              <w:lastRenderedPageBreak/>
              <w:t>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="00DF33A1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="00DF33A1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пределах</w:t>
            </w:r>
            <w:r w:rsidR="00DF33A1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</w:t>
            </w:r>
            <w:r w:rsidRPr="000758AD">
              <w:rPr>
                <w:rFonts w:ascii="Times New Roman" w:hAnsi="Times New Roman" w:cs="Times New Roman"/>
                <w:snapToGrid w:val="0"/>
              </w:rPr>
              <w:lastRenderedPageBreak/>
              <w:t xml:space="preserve">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proofErr w:type="gramStart"/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proofErr w:type="gramStart"/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>&lt;1</w:t>
      </w:r>
      <w:proofErr w:type="gramStart"/>
      <w:r w:rsidRPr="000758AD">
        <w:rPr>
          <w:rFonts w:ascii="Times New Roman" w:hAnsi="Times New Roman" w:cs="Times New Roman"/>
        </w:rPr>
        <w:t>&gt; В</w:t>
      </w:r>
      <w:proofErr w:type="gramEnd"/>
      <w:r w:rsidRPr="000758AD">
        <w:rPr>
          <w:rFonts w:ascii="Times New Roman" w:hAnsi="Times New Roman" w:cs="Times New Roman"/>
        </w:rPr>
        <w:t xml:space="preserve"> части доходов, зачисляемых в бюджет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="0045619B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="0045619B">
        <w:rPr>
          <w:rFonts w:ascii="Times New Roman" w:hAnsi="Times New Roman" w:cs="Times New Roman"/>
          <w:bCs/>
        </w:rPr>
        <w:t xml:space="preserve">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</w:t>
      </w:r>
      <w:r w:rsidRPr="000758AD">
        <w:rPr>
          <w:rFonts w:ascii="Times New Roman" w:hAnsi="Times New Roman" w:cs="Times New Roman"/>
        </w:rPr>
        <w:lastRenderedPageBreak/>
        <w:t>являются</w:t>
      </w:r>
      <w:proofErr w:type="gramEnd"/>
      <w:r w:rsidRPr="000758AD">
        <w:rPr>
          <w:rFonts w:ascii="Times New Roman" w:hAnsi="Times New Roman" w:cs="Times New Roman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2021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924DB7"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924DB7">
        <w:rPr>
          <w:rFonts w:ascii="Times New Roman" w:eastAsia="Times New Roman" w:hAnsi="Times New Roman" w:cs="Times New Roman"/>
          <w:sz w:val="18"/>
          <w:szCs w:val="18"/>
          <w:lang w:eastAsia="ru-RU"/>
        </w:rPr>
        <w:t>23.12.2020г.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924DB7">
        <w:rPr>
          <w:rFonts w:ascii="Times New Roman" w:eastAsia="Times New Roman" w:hAnsi="Times New Roman" w:cs="Times New Roman"/>
          <w:sz w:val="18"/>
          <w:szCs w:val="18"/>
          <w:lang w:eastAsia="ru-RU"/>
        </w:rPr>
        <w:t>119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/>
                <w:bCs/>
              </w:rPr>
              <w:t>Карамалинский</w:t>
            </w:r>
            <w:proofErr w:type="spellEnd"/>
            <w:r w:rsidR="0045619B">
              <w:rPr>
                <w:rFonts w:ascii="Times New Roman" w:hAnsi="Times New Roman" w:cs="Times New Roman"/>
                <w:bCs/>
              </w:rPr>
              <w:t xml:space="preserve">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сельсовет муниципального района </w:t>
            </w:r>
            <w:proofErr w:type="spellStart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F33A1" w:rsidRDefault="00DF33A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от </w:t>
      </w:r>
      <w:r w:rsidR="00924DB7">
        <w:rPr>
          <w:rFonts w:ascii="Times New Roman" w:hAnsi="Times New Roman" w:cs="Times New Roman"/>
          <w:sz w:val="18"/>
          <w:szCs w:val="18"/>
        </w:rPr>
        <w:t>23</w:t>
      </w:r>
      <w:r w:rsidRPr="00CB3534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="00924DB7">
        <w:rPr>
          <w:rFonts w:ascii="Times New Roman" w:eastAsia="Times New Roman" w:hAnsi="Times New Roman" w:cs="Times New Roman"/>
          <w:sz w:val="18"/>
          <w:szCs w:val="18"/>
          <w:lang w:eastAsia="ru-RU"/>
        </w:rPr>
        <w:t>119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B3534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</w:t>
            </w:r>
            <w:r w:rsidR="00020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3086,9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2513,4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2513,4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1732,1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1732,1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1732,1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1732,1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676,3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924DB7">
        <w:rPr>
          <w:rFonts w:ascii="Times New Roman" w:hAnsi="Times New Roman" w:cs="Times New Roman"/>
          <w:sz w:val="20"/>
          <w:szCs w:val="20"/>
        </w:rPr>
        <w:t>23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24DB7">
        <w:rPr>
          <w:rFonts w:ascii="Times New Roman" w:eastAsia="Times New Roman" w:hAnsi="Times New Roman" w:cs="Times New Roman"/>
          <w:sz w:val="20"/>
          <w:szCs w:val="20"/>
          <w:lang w:eastAsia="ru-RU"/>
        </w:rPr>
        <w:t>119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92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2942,6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624,7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924DB7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924DB7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924DB7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2268,0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1483,7</w:t>
            </w:r>
          </w:p>
        </w:tc>
      </w:tr>
      <w:tr w:rsidR="00DF33A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1483,7</w:t>
            </w:r>
          </w:p>
        </w:tc>
      </w:tr>
      <w:tr w:rsidR="00DF33A1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1483,7</w:t>
            </w:r>
          </w:p>
        </w:tc>
      </w:tr>
      <w:tr w:rsidR="00DF33A1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1483,7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разделам, подразделам,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848,8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0758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33A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33A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33A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A1" w:rsidRPr="000758AD" w:rsidRDefault="00DF33A1" w:rsidP="00D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33A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F33A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3A1" w:rsidRPr="000758AD" w:rsidRDefault="00DF33A1" w:rsidP="00DF3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3A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17BC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348,8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DF33A1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348,8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27250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2A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3086,9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3086,9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3086,9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1934,8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448,8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1243,1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1004,8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400AE6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400AE6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400AE6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DF33A1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98" w:rsidRDefault="008B6198" w:rsidP="00A73E2F">
      <w:pPr>
        <w:spacing w:after="0" w:line="240" w:lineRule="auto"/>
      </w:pPr>
      <w:r>
        <w:separator/>
      </w:r>
    </w:p>
  </w:endnote>
  <w:endnote w:type="continuationSeparator" w:id="0">
    <w:p w:rsidR="008B6198" w:rsidRDefault="008B619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98" w:rsidRDefault="008B6198" w:rsidP="00A73E2F">
      <w:pPr>
        <w:spacing w:after="0" w:line="240" w:lineRule="auto"/>
      </w:pPr>
      <w:r>
        <w:separator/>
      </w:r>
    </w:p>
  </w:footnote>
  <w:footnote w:type="continuationSeparator" w:id="0">
    <w:p w:rsidR="008B6198" w:rsidRDefault="008B619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A5" w:rsidRPr="00156A4F" w:rsidRDefault="007855A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24DB7">
      <w:rPr>
        <w:rFonts w:ascii="Times New Roman" w:hAnsi="Times New Roman" w:cs="Times New Roman"/>
        <w:noProof/>
        <w:sz w:val="28"/>
        <w:szCs w:val="28"/>
      </w:rPr>
      <w:t>34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7855A5" w:rsidRPr="00156A4F" w:rsidRDefault="007855A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A5" w:rsidRPr="007226DB" w:rsidRDefault="007855A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855A5" w:rsidRPr="007226DB" w:rsidRDefault="007855A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55A5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B81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B6198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4DB7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3A1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8700</Words>
  <Characters>49592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45</cp:revision>
  <cp:lastPrinted>2020-12-23T06:48:00Z</cp:lastPrinted>
  <dcterms:created xsi:type="dcterms:W3CDTF">2019-11-13T11:58:00Z</dcterms:created>
  <dcterms:modified xsi:type="dcterms:W3CDTF">2020-12-23T06:51:00Z</dcterms:modified>
</cp:coreProperties>
</file>